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682C" w14:textId="5040165B" w:rsidR="00771C49" w:rsidRDefault="003641C7" w:rsidP="00771C49">
      <w:pPr>
        <w:ind w:right="0"/>
        <w:jc w:val="center"/>
        <w:rPr>
          <w:rFonts w:ascii="Arial" w:hAnsi="Arial" w:cs="Arial"/>
          <w:b/>
          <w:bCs/>
        </w:rPr>
      </w:pPr>
      <w:r w:rsidRPr="00771C49">
        <w:rPr>
          <w:rFonts w:ascii="Arial" w:hAnsi="Arial" w:cs="Arial"/>
          <w:b/>
          <w:bCs/>
          <w:u w:val="single"/>
        </w:rPr>
        <w:t>SPEAKER SUMMARY</w:t>
      </w:r>
    </w:p>
    <w:p w14:paraId="2E8FBC7A" w14:textId="3F808463" w:rsidR="00620988" w:rsidRDefault="00ED6B38" w:rsidP="00771C49">
      <w:pPr>
        <w:ind w:righ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2025</w:t>
      </w:r>
    </w:p>
    <w:p w14:paraId="18FE190D" w14:textId="2C50B8FC" w:rsidR="003641C7" w:rsidRDefault="00E07F74" w:rsidP="00771C49">
      <w:pPr>
        <w:ind w:righ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BEN WONG AND </w:t>
      </w:r>
      <w:r w:rsidR="003B4FE5">
        <w:rPr>
          <w:rFonts w:ascii="Arial" w:hAnsi="Arial" w:cs="Arial"/>
          <w:b/>
          <w:bCs/>
        </w:rPr>
        <w:t>TIMOTHY USHIJIMA</w:t>
      </w:r>
    </w:p>
    <w:p w14:paraId="5F407EC4" w14:textId="3270F23C" w:rsidR="003641C7" w:rsidRDefault="00BC6733" w:rsidP="00771C49">
      <w:pPr>
        <w:ind w:righ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SUMMARY OF </w:t>
      </w:r>
      <w:r w:rsidR="00E07F74">
        <w:rPr>
          <w:rFonts w:ascii="Arial" w:hAnsi="Arial" w:cs="Arial"/>
          <w:b/>
          <w:bCs/>
        </w:rPr>
        <w:t>202</w:t>
      </w:r>
      <w:r w:rsidR="00C85E60">
        <w:rPr>
          <w:rFonts w:ascii="Arial" w:hAnsi="Arial" w:cs="Arial"/>
          <w:b/>
          <w:bCs/>
        </w:rPr>
        <w:t>5</w:t>
      </w:r>
      <w:r w:rsidR="00E07F74">
        <w:rPr>
          <w:rFonts w:ascii="Arial" w:hAnsi="Arial" w:cs="Arial"/>
          <w:b/>
          <w:bCs/>
        </w:rPr>
        <w:t xml:space="preserve"> WATER SUPPLY </w:t>
      </w:r>
      <w:r w:rsidR="00C85E60">
        <w:rPr>
          <w:rFonts w:ascii="Arial" w:hAnsi="Arial" w:cs="Arial"/>
          <w:b/>
          <w:bCs/>
        </w:rPr>
        <w:t>CONDITIONS</w:t>
      </w:r>
      <w:r w:rsidR="00A168D9">
        <w:rPr>
          <w:rFonts w:ascii="Arial" w:hAnsi="Arial" w:cs="Arial"/>
          <w:b/>
          <w:bCs/>
        </w:rPr>
        <w:t xml:space="preserve"> </w:t>
      </w:r>
    </w:p>
    <w:p w14:paraId="6B66D210" w14:textId="77777777" w:rsidR="00B434D3" w:rsidRDefault="00B434D3" w:rsidP="00771C49">
      <w:pPr>
        <w:ind w:right="0"/>
        <w:jc w:val="center"/>
        <w:rPr>
          <w:rFonts w:ascii="Arial" w:hAnsi="Arial" w:cs="Arial"/>
          <w:b/>
          <w:bCs/>
        </w:rPr>
      </w:pPr>
    </w:p>
    <w:p w14:paraId="21E20E8C" w14:textId="77759861" w:rsidR="00B434D3" w:rsidRDefault="00B434D3" w:rsidP="00B434D3">
      <w:pPr>
        <w:ind w:righ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Robert Yoshimura</w:t>
      </w:r>
    </w:p>
    <w:p w14:paraId="0F6E18E3" w14:textId="77777777" w:rsidR="00B434D3" w:rsidRDefault="00B434D3" w:rsidP="00B434D3">
      <w:pPr>
        <w:ind w:right="0"/>
        <w:rPr>
          <w:rFonts w:ascii="Arial" w:hAnsi="Arial" w:cs="Arial"/>
          <w:b/>
          <w:bCs/>
        </w:rPr>
      </w:pPr>
    </w:p>
    <w:p w14:paraId="3792A906" w14:textId="2DC53534" w:rsidR="00FD4C56" w:rsidRDefault="00D33280" w:rsidP="00B434D3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Ben Wong from the DWP Water Resources Division and Timothy Ushijima </w:t>
      </w:r>
      <w:r w:rsidR="008A325E">
        <w:rPr>
          <w:rFonts w:ascii="Arial" w:hAnsi="Arial" w:cs="Arial"/>
        </w:rPr>
        <w:t xml:space="preserve">from the Water Operations Division provided an update of current </w:t>
      </w:r>
      <w:r w:rsidR="00F546F9">
        <w:rPr>
          <w:rFonts w:ascii="Arial" w:hAnsi="Arial" w:cs="Arial"/>
        </w:rPr>
        <w:t>water supply conditions on the City of Los Angeles’</w:t>
      </w:r>
      <w:r w:rsidR="00203209">
        <w:rPr>
          <w:rFonts w:ascii="Arial" w:hAnsi="Arial" w:cs="Arial"/>
        </w:rPr>
        <w:t xml:space="preserve"> </w:t>
      </w:r>
      <w:r w:rsidR="00CF24E5">
        <w:rPr>
          <w:rFonts w:ascii="Arial" w:hAnsi="Arial" w:cs="Arial"/>
        </w:rPr>
        <w:t>three</w:t>
      </w:r>
      <w:r w:rsidR="00203209">
        <w:rPr>
          <w:rFonts w:ascii="Arial" w:hAnsi="Arial" w:cs="Arial"/>
        </w:rPr>
        <w:t xml:space="preserve"> primary water source</w:t>
      </w:r>
      <w:r w:rsidR="00210A49">
        <w:rPr>
          <w:rFonts w:ascii="Arial" w:hAnsi="Arial" w:cs="Arial"/>
        </w:rPr>
        <w:t xml:space="preserve">s (Los Angeles Aqueduct, </w:t>
      </w:r>
      <w:r w:rsidR="00CF24E5">
        <w:rPr>
          <w:rFonts w:ascii="Arial" w:hAnsi="Arial" w:cs="Arial"/>
        </w:rPr>
        <w:t>Metropolitan Water District</w:t>
      </w:r>
      <w:r w:rsidR="00ED3802">
        <w:rPr>
          <w:rFonts w:ascii="Arial" w:hAnsi="Arial" w:cs="Arial"/>
        </w:rPr>
        <w:t xml:space="preserve">, and local groundwater).  </w:t>
      </w:r>
    </w:p>
    <w:p w14:paraId="2E257710" w14:textId="77777777" w:rsidR="00F83218" w:rsidRDefault="00F83218" w:rsidP="00B434D3">
      <w:pPr>
        <w:ind w:right="0"/>
        <w:rPr>
          <w:rFonts w:ascii="Arial" w:hAnsi="Arial" w:cs="Arial"/>
        </w:rPr>
      </w:pPr>
    </w:p>
    <w:p w14:paraId="5D047493" w14:textId="0D2FC10F" w:rsidR="006A5369" w:rsidRDefault="00F83218" w:rsidP="00EA2961">
      <w:pPr>
        <w:ind w:right="0"/>
        <w:rPr>
          <w:rFonts w:ascii="Arial" w:hAnsi="Arial" w:cs="Arial"/>
        </w:rPr>
      </w:pPr>
      <w:r w:rsidRPr="00C07878">
        <w:rPr>
          <w:rFonts w:ascii="Arial" w:hAnsi="Arial" w:cs="Arial"/>
          <w:b/>
          <w:bCs/>
        </w:rPr>
        <w:t>Los Angeles Aqueduct</w:t>
      </w:r>
      <w:r w:rsidR="00744B76" w:rsidRPr="00C07878">
        <w:rPr>
          <w:rFonts w:ascii="Arial" w:hAnsi="Arial" w:cs="Arial"/>
          <w:b/>
          <w:bCs/>
        </w:rPr>
        <w:t xml:space="preserve"> (LAA)</w:t>
      </w:r>
      <w:r w:rsidRPr="00C07878">
        <w:rPr>
          <w:rFonts w:ascii="Arial" w:hAnsi="Arial" w:cs="Arial"/>
          <w:b/>
          <w:bCs/>
        </w:rPr>
        <w:t xml:space="preserve">.  </w:t>
      </w:r>
      <w:r w:rsidR="009F37CB">
        <w:rPr>
          <w:rFonts w:ascii="Arial" w:hAnsi="Arial" w:cs="Arial"/>
        </w:rPr>
        <w:t>The current</w:t>
      </w:r>
      <w:r w:rsidR="00BC3B22">
        <w:rPr>
          <w:rFonts w:ascii="Arial" w:hAnsi="Arial" w:cs="Arial"/>
        </w:rPr>
        <w:t xml:space="preserve"> year </w:t>
      </w:r>
      <w:r w:rsidR="00D62493">
        <w:rPr>
          <w:rFonts w:ascii="Arial" w:hAnsi="Arial" w:cs="Arial"/>
        </w:rPr>
        <w:t>r</w:t>
      </w:r>
      <w:r w:rsidR="00594D96" w:rsidRPr="00BC3B22">
        <w:rPr>
          <w:rFonts w:ascii="Arial" w:hAnsi="Arial" w:cs="Arial"/>
        </w:rPr>
        <w:t>unoff from snowmelt</w:t>
      </w:r>
      <w:r w:rsidR="00694C77" w:rsidRPr="00BC3B22">
        <w:rPr>
          <w:rFonts w:ascii="Arial" w:hAnsi="Arial" w:cs="Arial"/>
        </w:rPr>
        <w:t xml:space="preserve"> in the </w:t>
      </w:r>
      <w:r w:rsidR="00521CA1" w:rsidRPr="00BC3B22">
        <w:rPr>
          <w:rFonts w:ascii="Arial" w:hAnsi="Arial" w:cs="Arial"/>
        </w:rPr>
        <w:t>e</w:t>
      </w:r>
      <w:r w:rsidR="00694C77" w:rsidRPr="00BC3B22">
        <w:rPr>
          <w:rFonts w:ascii="Arial" w:hAnsi="Arial" w:cs="Arial"/>
        </w:rPr>
        <w:t>astern Sierra Nevada</w:t>
      </w:r>
      <w:r w:rsidR="00594D96" w:rsidRPr="00BC3B22">
        <w:rPr>
          <w:rFonts w:ascii="Arial" w:hAnsi="Arial" w:cs="Arial"/>
        </w:rPr>
        <w:t xml:space="preserve"> </w:t>
      </w:r>
      <w:r w:rsidR="00D62493">
        <w:rPr>
          <w:rFonts w:ascii="Arial" w:hAnsi="Arial" w:cs="Arial"/>
        </w:rPr>
        <w:t xml:space="preserve">provides most of the </w:t>
      </w:r>
      <w:r w:rsidR="00881796">
        <w:rPr>
          <w:rFonts w:ascii="Arial" w:hAnsi="Arial" w:cs="Arial"/>
        </w:rPr>
        <w:t xml:space="preserve">annual </w:t>
      </w:r>
      <w:r w:rsidR="00D62493">
        <w:rPr>
          <w:rFonts w:ascii="Arial" w:hAnsi="Arial" w:cs="Arial"/>
        </w:rPr>
        <w:t xml:space="preserve">water supply delivered to Los Angeles via the LAA.  </w:t>
      </w:r>
      <w:r w:rsidR="00534908">
        <w:rPr>
          <w:rFonts w:ascii="Arial" w:hAnsi="Arial" w:cs="Arial"/>
        </w:rPr>
        <w:t xml:space="preserve">Runoff forecasting is thus a critical part of the planning process for </w:t>
      </w:r>
      <w:r w:rsidR="007D6D63">
        <w:rPr>
          <w:rFonts w:ascii="Arial" w:hAnsi="Arial" w:cs="Arial"/>
        </w:rPr>
        <w:t xml:space="preserve">water supply operations.  </w:t>
      </w:r>
      <w:r w:rsidR="00EA2961" w:rsidRPr="00EA2961">
        <w:rPr>
          <w:rFonts w:ascii="Arial" w:hAnsi="Arial" w:cs="Arial"/>
        </w:rPr>
        <w:t>Forecasting methods accurately estimate runoff, as last year's forecast predicted 102% of normal runoff and the actual was 99%.</w:t>
      </w:r>
      <w:r w:rsidR="00DA3B28">
        <w:rPr>
          <w:rFonts w:ascii="Arial" w:hAnsi="Arial" w:cs="Arial"/>
        </w:rPr>
        <w:t xml:space="preserve"> </w:t>
      </w:r>
    </w:p>
    <w:p w14:paraId="3F7A700D" w14:textId="77777777" w:rsidR="00BC0276" w:rsidRDefault="00BC0276" w:rsidP="00B434D3">
      <w:pPr>
        <w:ind w:right="0"/>
        <w:rPr>
          <w:rFonts w:ascii="Arial" w:hAnsi="Arial" w:cs="Arial"/>
        </w:rPr>
      </w:pPr>
    </w:p>
    <w:p w14:paraId="5FB6D131" w14:textId="2D3B3A8B" w:rsidR="00F83218" w:rsidRDefault="00CE0F1C" w:rsidP="00B434D3">
      <w:pPr>
        <w:ind w:right="0"/>
        <w:rPr>
          <w:rFonts w:ascii="Arial" w:hAnsi="Arial" w:cs="Arial"/>
        </w:rPr>
      </w:pPr>
      <w:r w:rsidRPr="00CE0F1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FB9C3" wp14:editId="019B4F7F">
                <wp:simplePos x="0" y="0"/>
                <wp:positionH relativeFrom="margin">
                  <wp:posOffset>1958340</wp:posOffset>
                </wp:positionH>
                <wp:positionV relativeFrom="paragraph">
                  <wp:posOffset>4445</wp:posOffset>
                </wp:positionV>
                <wp:extent cx="4229100" cy="2598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DC4D" w14:textId="1B7C6DF8" w:rsidR="00CE0F1C" w:rsidRDefault="00CE0F1C">
                            <w:r w:rsidRPr="00B72315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C0A034C" wp14:editId="51388AF6">
                                  <wp:extent cx="4037330" cy="2503557"/>
                                  <wp:effectExtent l="0" t="0" r="1270" b="0"/>
                                  <wp:docPr id="1513410600" name="Picture 1" descr="A graph of the temperature of snow pillow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3410600" name="Picture 1" descr="A graph of the temperature of snow pillow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330" cy="2503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FB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.35pt;width:333pt;height:20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">
                <v:textbox>
                  <w:txbxContent>
                    <w:p w14:paraId="5717DC4D" w14:textId="1B7C6DF8" w:rsidR="00CE0F1C" w:rsidRDefault="00CE0F1C">
                      <w:r w:rsidRPr="00B72315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C0A034C" wp14:editId="51388AF6">
                            <wp:extent cx="4037330" cy="2503557"/>
                            <wp:effectExtent l="0" t="0" r="1270" b="0"/>
                            <wp:docPr id="1513410600" name="Picture 1" descr="A graph of the temperature of snow pillow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3410600" name="Picture 1" descr="A graph of the temperature of snow pillows&#10;&#10;AI-generated content may be incorrec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330" cy="2503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17F">
        <w:rPr>
          <w:rFonts w:ascii="Arial" w:hAnsi="Arial" w:cs="Arial"/>
        </w:rPr>
        <w:t>Recent h</w:t>
      </w:r>
      <w:r w:rsidR="006A5369">
        <w:rPr>
          <w:rFonts w:ascii="Arial" w:hAnsi="Arial" w:cs="Arial"/>
        </w:rPr>
        <w:t>istorical runoff data</w:t>
      </w:r>
      <w:r w:rsidR="0064317F">
        <w:rPr>
          <w:rFonts w:ascii="Arial" w:hAnsi="Arial" w:cs="Arial"/>
        </w:rPr>
        <w:t xml:space="preserve"> shows that </w:t>
      </w:r>
      <w:r w:rsidR="000273B2">
        <w:rPr>
          <w:rFonts w:ascii="Arial" w:hAnsi="Arial" w:cs="Arial"/>
        </w:rPr>
        <w:t>above</w:t>
      </w:r>
      <w:r w:rsidR="008F654A">
        <w:rPr>
          <w:rFonts w:ascii="Arial" w:hAnsi="Arial" w:cs="Arial"/>
        </w:rPr>
        <w:t>-</w:t>
      </w:r>
      <w:r w:rsidR="000273B2">
        <w:rPr>
          <w:rFonts w:ascii="Arial" w:hAnsi="Arial" w:cs="Arial"/>
        </w:rPr>
        <w:t xml:space="preserve">normal runoff is rare and that </w:t>
      </w:r>
      <w:r w:rsidR="00BA300C">
        <w:rPr>
          <w:rFonts w:ascii="Arial" w:hAnsi="Arial" w:cs="Arial"/>
        </w:rPr>
        <w:t xml:space="preserve">three consecutive years of normal or above </w:t>
      </w:r>
      <w:r w:rsidR="00462C01">
        <w:rPr>
          <w:rFonts w:ascii="Arial" w:hAnsi="Arial" w:cs="Arial"/>
        </w:rPr>
        <w:t xml:space="preserve">is particularly so.  </w:t>
      </w:r>
      <w:r w:rsidR="001E2E1C">
        <w:rPr>
          <w:rFonts w:ascii="Arial" w:hAnsi="Arial" w:cs="Arial"/>
        </w:rPr>
        <w:t xml:space="preserve">2023 was the wettest year in history </w:t>
      </w:r>
      <w:r w:rsidR="00D17B50">
        <w:rPr>
          <w:rFonts w:ascii="Arial" w:hAnsi="Arial" w:cs="Arial"/>
        </w:rPr>
        <w:t>yielding 300% of normal runoff</w:t>
      </w:r>
      <w:r w:rsidR="007D53F8">
        <w:rPr>
          <w:rFonts w:ascii="Arial" w:hAnsi="Arial" w:cs="Arial"/>
        </w:rPr>
        <w:t xml:space="preserve"> and 2024 was a good year </w:t>
      </w:r>
      <w:r w:rsidR="00DF49D5">
        <w:rPr>
          <w:rFonts w:ascii="Arial" w:hAnsi="Arial" w:cs="Arial"/>
        </w:rPr>
        <w:t xml:space="preserve">as described above.  Expectations for 2025 </w:t>
      </w:r>
      <w:r w:rsidR="006D0241">
        <w:rPr>
          <w:rFonts w:ascii="Arial" w:hAnsi="Arial" w:cs="Arial"/>
        </w:rPr>
        <w:t>were thus not optimistic.  As shown in the graph of s</w:t>
      </w:r>
      <w:r w:rsidR="00BA4E7A">
        <w:rPr>
          <w:rFonts w:ascii="Arial" w:hAnsi="Arial" w:cs="Arial"/>
        </w:rPr>
        <w:t xml:space="preserve">nowpack </w:t>
      </w:r>
      <w:r w:rsidR="00D40641">
        <w:rPr>
          <w:rFonts w:ascii="Arial" w:hAnsi="Arial" w:cs="Arial"/>
        </w:rPr>
        <w:t xml:space="preserve">below, </w:t>
      </w:r>
      <w:r w:rsidR="00C44917">
        <w:rPr>
          <w:rFonts w:ascii="Arial" w:hAnsi="Arial" w:cs="Arial"/>
        </w:rPr>
        <w:t xml:space="preserve">the water year began true to expectations with below-average snowpack until mid-February.  Since </w:t>
      </w:r>
      <w:r w:rsidR="00983DB8">
        <w:rPr>
          <w:rFonts w:ascii="Arial" w:hAnsi="Arial" w:cs="Arial"/>
        </w:rPr>
        <w:t>then,</w:t>
      </w:r>
      <w:r w:rsidR="00C44917">
        <w:rPr>
          <w:rFonts w:ascii="Arial" w:hAnsi="Arial" w:cs="Arial"/>
        </w:rPr>
        <w:t xml:space="preserve"> </w:t>
      </w:r>
      <w:r w:rsidR="00B6279F">
        <w:rPr>
          <w:rFonts w:ascii="Arial" w:hAnsi="Arial" w:cs="Arial"/>
        </w:rPr>
        <w:t xml:space="preserve">a series of </w:t>
      </w:r>
      <w:r w:rsidR="0034722D">
        <w:rPr>
          <w:rFonts w:ascii="Arial" w:hAnsi="Arial" w:cs="Arial"/>
        </w:rPr>
        <w:t>storms have raised the snowpack to 90% of normal as of April 1</w:t>
      </w:r>
      <w:r w:rsidR="00E737F1">
        <w:rPr>
          <w:rFonts w:ascii="Arial" w:hAnsi="Arial" w:cs="Arial"/>
        </w:rPr>
        <w:t xml:space="preserve">.  </w:t>
      </w:r>
      <w:r w:rsidR="006066D6">
        <w:rPr>
          <w:rFonts w:ascii="Arial" w:hAnsi="Arial" w:cs="Arial"/>
        </w:rPr>
        <w:t xml:space="preserve"> </w:t>
      </w:r>
    </w:p>
    <w:p w14:paraId="404AF6CE" w14:textId="77777777" w:rsidR="004914BD" w:rsidRDefault="004914BD" w:rsidP="00B434D3">
      <w:pPr>
        <w:ind w:right="0"/>
        <w:rPr>
          <w:rFonts w:ascii="Arial" w:hAnsi="Arial" w:cs="Arial"/>
        </w:rPr>
      </w:pPr>
    </w:p>
    <w:p w14:paraId="1BF39789" w14:textId="23856DB6" w:rsidR="00664E62" w:rsidRDefault="00C50D01" w:rsidP="00B434D3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>The forecasted runoff for 2025 is about 250,000 acre-feet</w:t>
      </w:r>
      <w:r w:rsidR="00C17A95">
        <w:rPr>
          <w:rFonts w:ascii="Arial" w:hAnsi="Arial" w:cs="Arial"/>
        </w:rPr>
        <w:t xml:space="preserve"> (</w:t>
      </w:r>
      <w:r w:rsidR="00880ED6">
        <w:rPr>
          <w:rFonts w:ascii="Arial" w:hAnsi="Arial" w:cs="Arial"/>
        </w:rPr>
        <w:t>AF)</w:t>
      </w:r>
      <w:r w:rsidR="00E75699">
        <w:rPr>
          <w:rFonts w:ascii="Arial" w:hAnsi="Arial" w:cs="Arial"/>
        </w:rPr>
        <w:t xml:space="preserve">, similar to last year, partly because of carryover from the wet year of 2023.  </w:t>
      </w:r>
    </w:p>
    <w:p w14:paraId="40D57F99" w14:textId="77777777" w:rsidR="00091970" w:rsidRDefault="00091970" w:rsidP="00B434D3">
      <w:pPr>
        <w:ind w:right="0"/>
        <w:rPr>
          <w:rFonts w:ascii="Arial" w:hAnsi="Arial" w:cs="Arial"/>
        </w:rPr>
      </w:pPr>
    </w:p>
    <w:p w14:paraId="0BD97C21" w14:textId="6306E624" w:rsidR="00091970" w:rsidRPr="00C07878" w:rsidRDefault="00544268" w:rsidP="00B434D3">
      <w:pPr>
        <w:ind w:right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Metropolitan Water District (MWD).  </w:t>
      </w:r>
      <w:r w:rsidR="007B12A8">
        <w:rPr>
          <w:rFonts w:ascii="Arial" w:hAnsi="Arial" w:cs="Arial"/>
        </w:rPr>
        <w:t>MWD’s two sources of water are the State Water Project (S</w:t>
      </w:r>
      <w:r w:rsidR="005F1A41">
        <w:rPr>
          <w:rFonts w:ascii="Arial" w:hAnsi="Arial" w:cs="Arial"/>
        </w:rPr>
        <w:t>WP) and the Colorado River.  The snowpack in the northern Sierra that contributes to the SWP is at 118% of normal</w:t>
      </w:r>
      <w:r w:rsidR="002B0B15">
        <w:rPr>
          <w:rFonts w:ascii="Arial" w:hAnsi="Arial" w:cs="Arial"/>
        </w:rPr>
        <w:t xml:space="preserve"> and has </w:t>
      </w:r>
      <w:r w:rsidR="00303858">
        <w:rPr>
          <w:rFonts w:ascii="Arial" w:hAnsi="Arial" w:cs="Arial"/>
        </w:rPr>
        <w:t xml:space="preserve">resulted in an increase in promised allocations to MWD of 40% of the contracted amount.  </w:t>
      </w:r>
      <w:r w:rsidR="007F6C98">
        <w:rPr>
          <w:rFonts w:ascii="Arial" w:hAnsi="Arial" w:cs="Arial"/>
        </w:rPr>
        <w:t xml:space="preserve">The Colorado River snowpack </w:t>
      </w:r>
      <w:r w:rsidR="008A7E20">
        <w:rPr>
          <w:rFonts w:ascii="Arial" w:hAnsi="Arial" w:cs="Arial"/>
        </w:rPr>
        <w:t xml:space="preserve">is </w:t>
      </w:r>
      <w:r w:rsidR="00185701">
        <w:rPr>
          <w:rFonts w:ascii="Arial" w:hAnsi="Arial" w:cs="Arial"/>
        </w:rPr>
        <w:t>87% of normal</w:t>
      </w:r>
      <w:r w:rsidR="001F0BD1">
        <w:rPr>
          <w:rFonts w:ascii="Arial" w:hAnsi="Arial" w:cs="Arial"/>
        </w:rPr>
        <w:t xml:space="preserve">.  </w:t>
      </w:r>
      <w:r w:rsidR="002829A4">
        <w:rPr>
          <w:rFonts w:ascii="Arial" w:hAnsi="Arial" w:cs="Arial"/>
        </w:rPr>
        <w:t xml:space="preserve"> As of March 5, 2025, </w:t>
      </w:r>
      <w:r w:rsidR="009C37CB">
        <w:rPr>
          <w:rFonts w:ascii="Arial" w:hAnsi="Arial" w:cs="Arial"/>
        </w:rPr>
        <w:t xml:space="preserve">when the SWP allocation was only 35%, </w:t>
      </w:r>
      <w:r w:rsidR="002829A4">
        <w:rPr>
          <w:rFonts w:ascii="Arial" w:hAnsi="Arial" w:cs="Arial"/>
        </w:rPr>
        <w:t>t</w:t>
      </w:r>
      <w:r w:rsidR="001F0BD1">
        <w:rPr>
          <w:rFonts w:ascii="Arial" w:hAnsi="Arial" w:cs="Arial"/>
        </w:rPr>
        <w:t xml:space="preserve">he combined deliveries of water from those sources will enable MWD </w:t>
      </w:r>
      <w:r w:rsidR="009D085F">
        <w:rPr>
          <w:rFonts w:ascii="Arial" w:hAnsi="Arial" w:cs="Arial"/>
        </w:rPr>
        <w:t xml:space="preserve">to fulfill </w:t>
      </w:r>
      <w:r w:rsidR="0076400A">
        <w:rPr>
          <w:rFonts w:ascii="Arial" w:hAnsi="Arial" w:cs="Arial"/>
        </w:rPr>
        <w:t xml:space="preserve">all its obligations to its member agencies </w:t>
      </w:r>
      <w:r w:rsidR="00C17A95">
        <w:rPr>
          <w:rFonts w:ascii="Arial" w:hAnsi="Arial" w:cs="Arial"/>
        </w:rPr>
        <w:t>and</w:t>
      </w:r>
      <w:r w:rsidR="0041451A">
        <w:rPr>
          <w:rFonts w:ascii="Arial" w:hAnsi="Arial" w:cs="Arial"/>
        </w:rPr>
        <w:t>, in addition</w:t>
      </w:r>
      <w:r w:rsidR="007831D7">
        <w:rPr>
          <w:rFonts w:ascii="Arial" w:hAnsi="Arial" w:cs="Arial"/>
        </w:rPr>
        <w:t>,</w:t>
      </w:r>
      <w:r w:rsidR="00C17A95">
        <w:rPr>
          <w:rFonts w:ascii="Arial" w:hAnsi="Arial" w:cs="Arial"/>
        </w:rPr>
        <w:t xml:space="preserve"> store 17,000 </w:t>
      </w:r>
      <w:r w:rsidR="00880ED6">
        <w:rPr>
          <w:rFonts w:ascii="Arial" w:hAnsi="Arial" w:cs="Arial"/>
        </w:rPr>
        <w:t>AF of surplus water</w:t>
      </w:r>
      <w:r w:rsidR="006C0F57">
        <w:rPr>
          <w:rFonts w:ascii="Arial" w:hAnsi="Arial" w:cs="Arial"/>
        </w:rPr>
        <w:t xml:space="preserve">. </w:t>
      </w:r>
      <w:r w:rsidR="00E820A8">
        <w:rPr>
          <w:rFonts w:ascii="Arial" w:hAnsi="Arial" w:cs="Arial"/>
        </w:rPr>
        <w:t xml:space="preserve"> A 40% SWP allocation will thus</w:t>
      </w:r>
      <w:r w:rsidR="002A438E">
        <w:rPr>
          <w:rFonts w:ascii="Arial" w:hAnsi="Arial" w:cs="Arial"/>
        </w:rPr>
        <w:t xml:space="preserve"> further</w:t>
      </w:r>
      <w:r w:rsidR="00E820A8">
        <w:rPr>
          <w:rFonts w:ascii="Arial" w:hAnsi="Arial" w:cs="Arial"/>
        </w:rPr>
        <w:t xml:space="preserve"> increase the </w:t>
      </w:r>
      <w:r w:rsidR="00BB5C83">
        <w:rPr>
          <w:rFonts w:ascii="Arial" w:hAnsi="Arial" w:cs="Arial"/>
        </w:rPr>
        <w:t xml:space="preserve">surplus available for storage. </w:t>
      </w:r>
      <w:r w:rsidR="006C0F57">
        <w:rPr>
          <w:rFonts w:ascii="Arial" w:hAnsi="Arial" w:cs="Arial"/>
        </w:rPr>
        <w:t xml:space="preserve"> </w:t>
      </w:r>
      <w:r w:rsidR="00C07878">
        <w:rPr>
          <w:rFonts w:ascii="Arial" w:hAnsi="Arial" w:cs="Arial"/>
        </w:rPr>
        <w:t>(</w:t>
      </w:r>
      <w:r w:rsidR="00CA01C2">
        <w:rPr>
          <w:rFonts w:ascii="Arial" w:hAnsi="Arial" w:cs="Arial"/>
          <w:i/>
          <w:iCs/>
        </w:rPr>
        <w:t>Ed. note</w:t>
      </w:r>
      <w:r w:rsidR="002B3198">
        <w:rPr>
          <w:rFonts w:ascii="Arial" w:hAnsi="Arial" w:cs="Arial"/>
          <w:i/>
          <w:iCs/>
        </w:rPr>
        <w:t xml:space="preserve">: </w:t>
      </w:r>
      <w:r w:rsidR="00BB5C83">
        <w:rPr>
          <w:rFonts w:ascii="Arial" w:hAnsi="Arial" w:cs="Arial"/>
          <w:i/>
          <w:iCs/>
        </w:rPr>
        <w:t xml:space="preserve">per Ben Wong’s presentation </w:t>
      </w:r>
      <w:r w:rsidR="00E300C9">
        <w:rPr>
          <w:rFonts w:ascii="Arial" w:hAnsi="Arial" w:cs="Arial"/>
          <w:i/>
          <w:iCs/>
        </w:rPr>
        <w:t xml:space="preserve">a year ago, a 30% SWP allocation is the break-even point </w:t>
      </w:r>
      <w:r w:rsidR="00CB616B">
        <w:rPr>
          <w:rFonts w:ascii="Arial" w:hAnsi="Arial" w:cs="Arial"/>
          <w:i/>
          <w:iCs/>
        </w:rPr>
        <w:t>balancing</w:t>
      </w:r>
      <w:r w:rsidR="00E300C9">
        <w:rPr>
          <w:rFonts w:ascii="Arial" w:hAnsi="Arial" w:cs="Arial"/>
          <w:i/>
          <w:iCs/>
        </w:rPr>
        <w:t xml:space="preserve"> demand and supply</w:t>
      </w:r>
      <w:r w:rsidR="00465F63">
        <w:rPr>
          <w:rFonts w:ascii="Arial" w:hAnsi="Arial" w:cs="Arial"/>
          <w:i/>
          <w:iCs/>
        </w:rPr>
        <w:t>.)</w:t>
      </w:r>
    </w:p>
    <w:p w14:paraId="1C50FAB6" w14:textId="77777777" w:rsidR="00B72315" w:rsidRDefault="00B72315" w:rsidP="00B434D3">
      <w:pPr>
        <w:ind w:right="0"/>
        <w:rPr>
          <w:rFonts w:ascii="Arial" w:hAnsi="Arial" w:cs="Arial"/>
        </w:rPr>
      </w:pPr>
    </w:p>
    <w:p w14:paraId="6BD0B10F" w14:textId="57B4FC79" w:rsidR="00DA2DE8" w:rsidRDefault="00742948" w:rsidP="00B434D3">
      <w:p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 Groundwater</w:t>
      </w:r>
      <w:r w:rsidR="00563A23">
        <w:rPr>
          <w:rFonts w:ascii="Arial" w:hAnsi="Arial" w:cs="Arial"/>
          <w:b/>
          <w:bCs/>
        </w:rPr>
        <w:t xml:space="preserve">.  </w:t>
      </w:r>
      <w:r w:rsidR="00372F9A">
        <w:rPr>
          <w:rFonts w:ascii="Arial" w:hAnsi="Arial" w:cs="Arial"/>
        </w:rPr>
        <w:t xml:space="preserve">Groundwater pumping from wells in the San Fernando Basin have </w:t>
      </w:r>
      <w:r w:rsidR="005E6096">
        <w:rPr>
          <w:rFonts w:ascii="Arial" w:hAnsi="Arial" w:cs="Arial"/>
        </w:rPr>
        <w:lastRenderedPageBreak/>
        <w:t xml:space="preserve">recently </w:t>
      </w:r>
      <w:r w:rsidR="00372F9A">
        <w:rPr>
          <w:rFonts w:ascii="Arial" w:hAnsi="Arial" w:cs="Arial"/>
        </w:rPr>
        <w:t xml:space="preserve">been severely restricted </w:t>
      </w:r>
      <w:r w:rsidR="00E35A22">
        <w:rPr>
          <w:rFonts w:ascii="Arial" w:hAnsi="Arial" w:cs="Arial"/>
        </w:rPr>
        <w:t xml:space="preserve">because of </w:t>
      </w:r>
      <w:r w:rsidR="005E6096">
        <w:rPr>
          <w:rFonts w:ascii="Arial" w:hAnsi="Arial" w:cs="Arial"/>
        </w:rPr>
        <w:t xml:space="preserve">contamination </w:t>
      </w:r>
      <w:r w:rsidR="00767ADD">
        <w:rPr>
          <w:rFonts w:ascii="Arial" w:hAnsi="Arial" w:cs="Arial"/>
        </w:rPr>
        <w:t xml:space="preserve">from a variety of industrial organic compounds.  </w:t>
      </w:r>
      <w:r w:rsidR="001D046F">
        <w:rPr>
          <w:rFonts w:ascii="Arial" w:hAnsi="Arial" w:cs="Arial"/>
        </w:rPr>
        <w:t>To resolve this issue, DWP has been constructing wellhead treatment facilities at three locations</w:t>
      </w:r>
      <w:r w:rsidR="00B258B5">
        <w:rPr>
          <w:rFonts w:ascii="Arial" w:hAnsi="Arial" w:cs="Arial"/>
        </w:rPr>
        <w:t xml:space="preserve"> in the San Fernando Valley.  </w:t>
      </w:r>
      <w:r w:rsidR="00091B0F">
        <w:rPr>
          <w:rFonts w:ascii="Arial" w:hAnsi="Arial" w:cs="Arial"/>
        </w:rPr>
        <w:t xml:space="preserve">Those facilities, known as North Hollywood West, North Hollywood Central, and Tujunga </w:t>
      </w:r>
      <w:r w:rsidR="00D76784">
        <w:rPr>
          <w:rFonts w:ascii="Arial" w:hAnsi="Arial" w:cs="Arial"/>
        </w:rPr>
        <w:t xml:space="preserve">Remediation Facilities are nearing completion and will </w:t>
      </w:r>
      <w:r w:rsidR="00B76322" w:rsidRPr="00B763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6BBCF" wp14:editId="569A9529">
                <wp:simplePos x="0" y="0"/>
                <wp:positionH relativeFrom="margin">
                  <wp:align>right</wp:align>
                </wp:positionH>
                <wp:positionV relativeFrom="paragraph">
                  <wp:posOffset>967740</wp:posOffset>
                </wp:positionV>
                <wp:extent cx="5928360" cy="1635760"/>
                <wp:effectExtent l="0" t="0" r="15240" b="21590"/>
                <wp:wrapSquare wrapText="bothSides"/>
                <wp:docPr id="206051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63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4ADE" w14:textId="4B99475D" w:rsidR="00B76322" w:rsidRDefault="00927205">
                            <w:r w:rsidRPr="00927205">
                              <w:rPr>
                                <w:noProof/>
                              </w:rPr>
                              <w:drawing>
                                <wp:inline distT="0" distB="0" distL="0" distR="0" wp14:anchorId="0FBF43CF" wp14:editId="228C99C6">
                                  <wp:extent cx="5736590" cy="1582420"/>
                                  <wp:effectExtent l="0" t="0" r="0" b="0"/>
                                  <wp:docPr id="12437437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6590" cy="158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BBCF" id="_x0000_s1027" type="#_x0000_t202" style="position:absolute;margin-left:415.6pt;margin-top:76.2pt;width:466.8pt;height:128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">
                <v:textbox>
                  <w:txbxContent>
                    <w:p w14:paraId="6A074ADE" w14:textId="4B99475D" w:rsidR="00B76322" w:rsidRDefault="00927205">
                      <w:r w:rsidRPr="00927205">
                        <w:rPr>
                          <w:noProof/>
                        </w:rPr>
                        <w:drawing>
                          <wp:inline distT="0" distB="0" distL="0" distR="0" wp14:anchorId="0FBF43CF" wp14:editId="228C99C6">
                            <wp:extent cx="5736590" cy="1582420"/>
                            <wp:effectExtent l="0" t="0" r="0" b="0"/>
                            <wp:docPr id="124374376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6590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784">
        <w:rPr>
          <w:rFonts w:ascii="Arial" w:hAnsi="Arial" w:cs="Arial"/>
        </w:rPr>
        <w:t>begin operation within the next year</w:t>
      </w:r>
      <w:r w:rsidR="009142A5">
        <w:rPr>
          <w:rFonts w:ascii="Arial" w:hAnsi="Arial" w:cs="Arial"/>
        </w:rPr>
        <w:t xml:space="preserve"> or so</w:t>
      </w:r>
      <w:r w:rsidR="00F85722">
        <w:rPr>
          <w:rFonts w:ascii="Arial" w:hAnsi="Arial" w:cs="Arial"/>
        </w:rPr>
        <w:t xml:space="preserve"> as shown in the table below</w:t>
      </w:r>
      <w:r w:rsidR="00CA01C2">
        <w:rPr>
          <w:rFonts w:ascii="Arial" w:hAnsi="Arial" w:cs="Arial"/>
        </w:rPr>
        <w:t xml:space="preserve">.  </w:t>
      </w:r>
      <w:r w:rsidR="00C129E0">
        <w:rPr>
          <w:rFonts w:ascii="Arial" w:hAnsi="Arial" w:cs="Arial"/>
        </w:rPr>
        <w:t xml:space="preserve">When fully operational, </w:t>
      </w:r>
      <w:r w:rsidR="00FF6AB7">
        <w:rPr>
          <w:rFonts w:ascii="Arial" w:hAnsi="Arial" w:cs="Arial"/>
        </w:rPr>
        <w:t xml:space="preserve">San Fernando Valley groundwater will provide roughly 20% of the city’s water supply in a typical year.  </w:t>
      </w:r>
    </w:p>
    <w:p w14:paraId="122FFA37" w14:textId="77777777" w:rsidR="007C3C4A" w:rsidRDefault="007C3C4A" w:rsidP="00B434D3">
      <w:pPr>
        <w:ind w:right="0"/>
        <w:rPr>
          <w:rFonts w:ascii="Arial" w:hAnsi="Arial" w:cs="Arial"/>
        </w:rPr>
      </w:pPr>
    </w:p>
    <w:p w14:paraId="4A4C682E" w14:textId="44575D36" w:rsidR="007C3C4A" w:rsidRDefault="007C3C4A" w:rsidP="00B434D3">
      <w:p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Water Demand</w:t>
      </w:r>
      <w:r w:rsidR="0053605F">
        <w:rPr>
          <w:rFonts w:ascii="Arial" w:hAnsi="Arial" w:cs="Arial"/>
          <w:b/>
          <w:bCs/>
        </w:rPr>
        <w:t xml:space="preserve"> Trends</w:t>
      </w:r>
      <w:r>
        <w:rPr>
          <w:rFonts w:ascii="Arial" w:hAnsi="Arial" w:cs="Arial"/>
          <w:b/>
          <w:bCs/>
        </w:rPr>
        <w:t xml:space="preserve">.  </w:t>
      </w:r>
      <w:r w:rsidR="00AC4774">
        <w:rPr>
          <w:rFonts w:ascii="Arial" w:hAnsi="Arial" w:cs="Arial"/>
        </w:rPr>
        <w:t xml:space="preserve">To wrap up his presentation, Ben Wong </w:t>
      </w:r>
      <w:r w:rsidR="00DB67EA">
        <w:rPr>
          <w:rFonts w:ascii="Arial" w:hAnsi="Arial" w:cs="Arial"/>
        </w:rPr>
        <w:t xml:space="preserve">discussed water demand trends during the ’24 –’25 runoff year that ended </w:t>
      </w:r>
      <w:r w:rsidR="00F51587">
        <w:rPr>
          <w:rFonts w:ascii="Arial" w:hAnsi="Arial" w:cs="Arial"/>
        </w:rPr>
        <w:t xml:space="preserve">at the end of March.  </w:t>
      </w:r>
      <w:r w:rsidR="00F5772D">
        <w:rPr>
          <w:rFonts w:ascii="Arial" w:hAnsi="Arial" w:cs="Arial"/>
        </w:rPr>
        <w:t xml:space="preserve">He provided a brief discussion of </w:t>
      </w:r>
      <w:r w:rsidR="004875A5">
        <w:rPr>
          <w:rFonts w:ascii="Arial" w:hAnsi="Arial" w:cs="Arial"/>
        </w:rPr>
        <w:t>the following</w:t>
      </w:r>
      <w:r w:rsidR="00F5772D">
        <w:rPr>
          <w:rFonts w:ascii="Arial" w:hAnsi="Arial" w:cs="Arial"/>
        </w:rPr>
        <w:t xml:space="preserve"> factors that affect demand</w:t>
      </w:r>
      <w:r w:rsidR="004875A5">
        <w:rPr>
          <w:rFonts w:ascii="Arial" w:hAnsi="Arial" w:cs="Arial"/>
        </w:rPr>
        <w:t>:</w:t>
      </w:r>
    </w:p>
    <w:p w14:paraId="15E10D49" w14:textId="63096A9D" w:rsidR="004875A5" w:rsidRDefault="00602959" w:rsidP="004875A5">
      <w:pPr>
        <w:pStyle w:val="ListParagraph"/>
        <w:numPr>
          <w:ilvl w:val="0"/>
          <w:numId w:val="2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>The average maximum daily temperature for the year was very close to average and</w:t>
      </w:r>
      <w:r w:rsidR="006F4BD8">
        <w:rPr>
          <w:rFonts w:ascii="Arial" w:hAnsi="Arial" w:cs="Arial"/>
        </w:rPr>
        <w:t xml:space="preserve"> likely did not cause deviations in demand.</w:t>
      </w:r>
    </w:p>
    <w:p w14:paraId="2BCF6014" w14:textId="5C7F920F" w:rsidR="006F4BD8" w:rsidRDefault="006F4BD8" w:rsidP="004875A5">
      <w:pPr>
        <w:pStyle w:val="ListParagraph"/>
        <w:numPr>
          <w:ilvl w:val="0"/>
          <w:numId w:val="2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>Rainfall, however, was</w:t>
      </w:r>
      <w:r w:rsidR="00777BA9">
        <w:rPr>
          <w:rFonts w:ascii="Arial" w:hAnsi="Arial" w:cs="Arial"/>
        </w:rPr>
        <w:t xml:space="preserve"> significantly below average at 8.5 inches </w:t>
      </w:r>
      <w:r w:rsidR="00EB083C">
        <w:rPr>
          <w:rFonts w:ascii="Arial" w:hAnsi="Arial" w:cs="Arial"/>
        </w:rPr>
        <w:t xml:space="preserve">total for the year compared to 14.7 inches in a normal year.  </w:t>
      </w:r>
    </w:p>
    <w:p w14:paraId="64C1BBEA" w14:textId="370D594A" w:rsidR="007F5CDE" w:rsidRDefault="007F5CDE" w:rsidP="004875A5">
      <w:pPr>
        <w:pStyle w:val="ListParagraph"/>
        <w:numPr>
          <w:ilvl w:val="0"/>
          <w:numId w:val="2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Actual water demand during the year was </w:t>
      </w:r>
      <w:r w:rsidR="00827468">
        <w:rPr>
          <w:rFonts w:ascii="Arial" w:hAnsi="Arial" w:cs="Arial"/>
        </w:rPr>
        <w:t xml:space="preserve">higher than forecast with the deviation from the forecast generally increasing as the year progressed.  </w:t>
      </w:r>
      <w:r w:rsidR="00C35B0F">
        <w:rPr>
          <w:rFonts w:ascii="Arial" w:hAnsi="Arial" w:cs="Arial"/>
        </w:rPr>
        <w:t xml:space="preserve">This trend suggests a rebound in total water use after </w:t>
      </w:r>
      <w:r w:rsidR="0080037E">
        <w:rPr>
          <w:rFonts w:ascii="Arial" w:hAnsi="Arial" w:cs="Arial"/>
        </w:rPr>
        <w:t xml:space="preserve">a period of decline.  </w:t>
      </w:r>
    </w:p>
    <w:p w14:paraId="79E19070" w14:textId="175B27B8" w:rsidR="0080037E" w:rsidRDefault="00B92663" w:rsidP="004875A5">
      <w:pPr>
        <w:pStyle w:val="ListParagraph"/>
        <w:numPr>
          <w:ilvl w:val="0"/>
          <w:numId w:val="2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The city’s population declined steadily between 2018 and </w:t>
      </w:r>
      <w:r w:rsidR="00DA09FA">
        <w:rPr>
          <w:rFonts w:ascii="Arial" w:hAnsi="Arial" w:cs="Arial"/>
        </w:rPr>
        <w:t>2023 but</w:t>
      </w:r>
      <w:r w:rsidR="00CD5081">
        <w:rPr>
          <w:rFonts w:ascii="Arial" w:hAnsi="Arial" w:cs="Arial"/>
        </w:rPr>
        <w:t xml:space="preserve"> rebounded in 2024.  </w:t>
      </w:r>
    </w:p>
    <w:p w14:paraId="28CCBA14" w14:textId="4AACD9A4" w:rsidR="000B7F32" w:rsidRDefault="000B7F32" w:rsidP="000B7F32">
      <w:pPr>
        <w:pStyle w:val="ListParagraph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The projection for </w:t>
      </w:r>
      <w:r w:rsidR="00DA09FA">
        <w:rPr>
          <w:rFonts w:ascii="Arial" w:hAnsi="Arial" w:cs="Arial"/>
        </w:rPr>
        <w:t>2025 and 2026 is for a continuation of the</w:t>
      </w:r>
      <w:r w:rsidR="00EF78F2">
        <w:rPr>
          <w:rFonts w:ascii="Arial" w:hAnsi="Arial" w:cs="Arial"/>
        </w:rPr>
        <w:t xml:space="preserve"> growth, </w:t>
      </w:r>
      <w:r w:rsidR="00B565EC">
        <w:rPr>
          <w:rFonts w:ascii="Arial" w:hAnsi="Arial" w:cs="Arial"/>
        </w:rPr>
        <w:t>with the recognition that it is an uncertain forecast.</w:t>
      </w:r>
    </w:p>
    <w:p w14:paraId="2DA333F4" w14:textId="60A2210A" w:rsidR="00B565EC" w:rsidRPr="001879D8" w:rsidRDefault="009B1753" w:rsidP="002F4575">
      <w:pPr>
        <w:pStyle w:val="ListParagraph"/>
        <w:numPr>
          <w:ilvl w:val="0"/>
          <w:numId w:val="2"/>
        </w:numPr>
        <w:ind w:right="0"/>
        <w:rPr>
          <w:rFonts w:ascii="Arial" w:hAnsi="Arial" w:cs="Arial"/>
        </w:rPr>
      </w:pPr>
      <w:r w:rsidRPr="001879D8">
        <w:rPr>
          <w:rFonts w:ascii="Arial" w:hAnsi="Arial" w:cs="Arial"/>
        </w:rPr>
        <w:t xml:space="preserve">Per capita water usage declined precipitously from </w:t>
      </w:r>
      <w:r w:rsidR="00D76B60" w:rsidRPr="001879D8">
        <w:rPr>
          <w:rFonts w:ascii="Arial" w:hAnsi="Arial" w:cs="Arial"/>
        </w:rPr>
        <w:t xml:space="preserve">1987 when it was 187 gallons per capita per day, to 2024 when it bottomed out at 101 </w:t>
      </w:r>
      <w:proofErr w:type="spellStart"/>
      <w:r w:rsidR="00D76B60" w:rsidRPr="001879D8">
        <w:rPr>
          <w:rFonts w:ascii="Arial" w:hAnsi="Arial" w:cs="Arial"/>
        </w:rPr>
        <w:t>gpcd</w:t>
      </w:r>
      <w:proofErr w:type="spellEnd"/>
      <w:r w:rsidR="00D76B60" w:rsidRPr="001879D8">
        <w:rPr>
          <w:rFonts w:ascii="Arial" w:hAnsi="Arial" w:cs="Arial"/>
        </w:rPr>
        <w:t>.  However, since then</w:t>
      </w:r>
      <w:r w:rsidR="00565278" w:rsidRPr="001879D8">
        <w:rPr>
          <w:rFonts w:ascii="Arial" w:hAnsi="Arial" w:cs="Arial"/>
        </w:rPr>
        <w:t xml:space="preserve">, a rebound has occurred reaching 106 </w:t>
      </w:r>
      <w:proofErr w:type="spellStart"/>
      <w:r w:rsidR="00565278" w:rsidRPr="001879D8">
        <w:rPr>
          <w:rFonts w:ascii="Arial" w:hAnsi="Arial" w:cs="Arial"/>
        </w:rPr>
        <w:t>gpcd</w:t>
      </w:r>
      <w:proofErr w:type="spellEnd"/>
      <w:r w:rsidR="00565278" w:rsidRPr="001879D8">
        <w:rPr>
          <w:rFonts w:ascii="Arial" w:hAnsi="Arial" w:cs="Arial"/>
        </w:rPr>
        <w:t xml:space="preserve"> in February 2025.  </w:t>
      </w:r>
      <w:r w:rsidR="009D0C3B" w:rsidRPr="001879D8">
        <w:rPr>
          <w:rFonts w:ascii="Arial" w:hAnsi="Arial" w:cs="Arial"/>
        </w:rPr>
        <w:t xml:space="preserve">However, conservation efforts will continue to </w:t>
      </w:r>
      <w:r w:rsidR="000525A2" w:rsidRPr="001879D8">
        <w:rPr>
          <w:rFonts w:ascii="Arial" w:hAnsi="Arial" w:cs="Arial"/>
        </w:rPr>
        <w:t xml:space="preserve">target a usage rate of 100 </w:t>
      </w:r>
      <w:proofErr w:type="spellStart"/>
      <w:r w:rsidR="000525A2" w:rsidRPr="001879D8">
        <w:rPr>
          <w:rFonts w:ascii="Arial" w:hAnsi="Arial" w:cs="Arial"/>
        </w:rPr>
        <w:t>gpcd</w:t>
      </w:r>
      <w:proofErr w:type="spellEnd"/>
      <w:r w:rsidR="000525A2" w:rsidRPr="001879D8">
        <w:rPr>
          <w:rFonts w:ascii="Arial" w:hAnsi="Arial" w:cs="Arial"/>
        </w:rPr>
        <w:t xml:space="preserve"> by 2035.  </w:t>
      </w:r>
    </w:p>
    <w:p w14:paraId="71411DD6" w14:textId="0AF130BB" w:rsidR="00B72315" w:rsidRPr="00BC3B22" w:rsidRDefault="00B72315" w:rsidP="00B434D3">
      <w:pPr>
        <w:ind w:right="0"/>
        <w:rPr>
          <w:rFonts w:ascii="Arial" w:hAnsi="Arial" w:cs="Arial"/>
        </w:rPr>
      </w:pPr>
    </w:p>
    <w:p w14:paraId="4C378C51" w14:textId="3468AD45" w:rsidR="00B72315" w:rsidRPr="00BC3B22" w:rsidRDefault="00B72315" w:rsidP="00B434D3">
      <w:pPr>
        <w:ind w:right="0"/>
        <w:rPr>
          <w:rFonts w:ascii="Arial" w:hAnsi="Arial" w:cs="Arial"/>
        </w:rPr>
      </w:pPr>
    </w:p>
    <w:p w14:paraId="76E874EA" w14:textId="76298729" w:rsidR="00B72315" w:rsidRPr="00BC3B22" w:rsidRDefault="00B72315" w:rsidP="00B434D3">
      <w:pPr>
        <w:ind w:right="0"/>
        <w:rPr>
          <w:rFonts w:ascii="Arial" w:hAnsi="Arial" w:cs="Arial"/>
        </w:rPr>
      </w:pPr>
    </w:p>
    <w:p w14:paraId="23EA8DC8" w14:textId="77777777" w:rsidR="00B72315" w:rsidRPr="00BC3B22" w:rsidRDefault="00B72315" w:rsidP="00B434D3">
      <w:pPr>
        <w:ind w:right="0"/>
        <w:rPr>
          <w:rFonts w:ascii="Arial" w:hAnsi="Arial" w:cs="Arial"/>
        </w:rPr>
      </w:pPr>
    </w:p>
    <w:p w14:paraId="6478002E" w14:textId="0D13D5B5" w:rsidR="00B72315" w:rsidRPr="00D33280" w:rsidRDefault="00B72315" w:rsidP="00B434D3">
      <w:pPr>
        <w:ind w:right="0"/>
        <w:rPr>
          <w:rFonts w:ascii="Arial" w:hAnsi="Arial" w:cs="Arial"/>
        </w:rPr>
      </w:pPr>
    </w:p>
    <w:p w14:paraId="38007C46" w14:textId="77777777" w:rsidR="00B434D3" w:rsidRPr="00B434D3" w:rsidRDefault="00B434D3" w:rsidP="00B434D3">
      <w:pPr>
        <w:ind w:right="0"/>
        <w:rPr>
          <w:rFonts w:ascii="Arial" w:hAnsi="Arial" w:cs="Arial"/>
        </w:rPr>
      </w:pPr>
    </w:p>
    <w:p w14:paraId="1F984CA4" w14:textId="77777777" w:rsidR="00771C49" w:rsidRDefault="00771C49" w:rsidP="00771C49">
      <w:pPr>
        <w:ind w:right="0"/>
        <w:rPr>
          <w:rFonts w:ascii="Arial" w:hAnsi="Arial" w:cs="Arial"/>
          <w:b/>
          <w:bCs/>
        </w:rPr>
      </w:pPr>
    </w:p>
    <w:p w14:paraId="00EA6C45" w14:textId="77777777" w:rsidR="00763B2B" w:rsidRDefault="00763B2B" w:rsidP="006527A1">
      <w:pPr>
        <w:ind w:right="0"/>
        <w:rPr>
          <w:rFonts w:ascii="Arial" w:hAnsi="Arial" w:cs="Arial"/>
        </w:rPr>
      </w:pPr>
    </w:p>
    <w:p w14:paraId="097C71C6" w14:textId="35D641F7" w:rsidR="00B54CF7" w:rsidRDefault="00AB0563" w:rsidP="006527A1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14:paraId="02B49951" w14:textId="7BD04B6C" w:rsidR="00931083" w:rsidRPr="00931083" w:rsidRDefault="00FE6A02" w:rsidP="006527A1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46E722" w14:textId="77777777" w:rsidR="007B73B5" w:rsidRPr="007B73B5" w:rsidRDefault="007B73B5" w:rsidP="006527A1">
      <w:pPr>
        <w:ind w:right="0"/>
        <w:rPr>
          <w:rFonts w:ascii="Arial" w:hAnsi="Arial" w:cs="Arial"/>
        </w:rPr>
      </w:pPr>
    </w:p>
    <w:p w14:paraId="7C599DAC" w14:textId="77777777" w:rsidR="005E133C" w:rsidRDefault="005E133C" w:rsidP="006527A1">
      <w:pPr>
        <w:ind w:right="0"/>
        <w:rPr>
          <w:rFonts w:ascii="Arial" w:hAnsi="Arial" w:cs="Arial"/>
        </w:rPr>
      </w:pPr>
    </w:p>
    <w:p w14:paraId="25684166" w14:textId="77777777" w:rsidR="005E133C" w:rsidRPr="001550A0" w:rsidRDefault="005E133C" w:rsidP="006527A1">
      <w:pPr>
        <w:ind w:right="0"/>
        <w:rPr>
          <w:rFonts w:ascii="Arial" w:hAnsi="Arial" w:cs="Arial"/>
        </w:rPr>
      </w:pPr>
    </w:p>
    <w:p w14:paraId="5B02529C" w14:textId="3FE50963" w:rsidR="00D3525E" w:rsidRPr="000427CE" w:rsidRDefault="00D3525E" w:rsidP="006527A1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D3525E" w:rsidRPr="000427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35B3" w14:textId="77777777" w:rsidR="00C718D3" w:rsidRDefault="00C718D3" w:rsidP="00A9603D">
      <w:r>
        <w:separator/>
      </w:r>
    </w:p>
  </w:endnote>
  <w:endnote w:type="continuationSeparator" w:id="0">
    <w:p w14:paraId="0F7E1143" w14:textId="77777777" w:rsidR="00C718D3" w:rsidRDefault="00C718D3" w:rsidP="00A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6005" w14:textId="77777777" w:rsidR="00C718D3" w:rsidRDefault="00C718D3" w:rsidP="00A9603D">
      <w:r>
        <w:separator/>
      </w:r>
    </w:p>
  </w:footnote>
  <w:footnote w:type="continuationSeparator" w:id="0">
    <w:p w14:paraId="5B33AC64" w14:textId="77777777" w:rsidR="00C718D3" w:rsidRDefault="00C718D3" w:rsidP="00A9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CBBD" w14:textId="668E7C2D" w:rsidR="00A9603D" w:rsidRDefault="00000000">
    <w:pPr>
      <w:pStyle w:val="Header"/>
    </w:pPr>
    <w:sdt>
      <w:sdtPr>
        <w:id w:val="744218844"/>
        <w:docPartObj>
          <w:docPartGallery w:val="Watermarks"/>
          <w:docPartUnique/>
        </w:docPartObj>
      </w:sdtPr>
      <w:sdtContent>
        <w:r>
          <w:rPr>
            <w:noProof/>
          </w:rPr>
          <w:pict w14:anchorId="1688E6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1436"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D5F99"/>
    <w:multiLevelType w:val="hybridMultilevel"/>
    <w:tmpl w:val="5FD4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665AD"/>
    <w:multiLevelType w:val="hybridMultilevel"/>
    <w:tmpl w:val="4F50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3055">
    <w:abstractNumId w:val="0"/>
  </w:num>
  <w:num w:numId="2" w16cid:durableId="2187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7"/>
    <w:rsid w:val="00024507"/>
    <w:rsid w:val="000273B2"/>
    <w:rsid w:val="000427CE"/>
    <w:rsid w:val="000525A2"/>
    <w:rsid w:val="000546A2"/>
    <w:rsid w:val="0007208F"/>
    <w:rsid w:val="00091970"/>
    <w:rsid w:val="00091B0F"/>
    <w:rsid w:val="000B7F32"/>
    <w:rsid w:val="00120BEA"/>
    <w:rsid w:val="001550A0"/>
    <w:rsid w:val="00185701"/>
    <w:rsid w:val="001879D8"/>
    <w:rsid w:val="001D046F"/>
    <w:rsid w:val="001D2C1D"/>
    <w:rsid w:val="001D795E"/>
    <w:rsid w:val="001E2E1C"/>
    <w:rsid w:val="001F0BD1"/>
    <w:rsid w:val="00203209"/>
    <w:rsid w:val="00210A49"/>
    <w:rsid w:val="00255E44"/>
    <w:rsid w:val="0026525B"/>
    <w:rsid w:val="002829A4"/>
    <w:rsid w:val="00293F07"/>
    <w:rsid w:val="002A1E1C"/>
    <w:rsid w:val="002A438E"/>
    <w:rsid w:val="002B0B15"/>
    <w:rsid w:val="002B3198"/>
    <w:rsid w:val="002D71FC"/>
    <w:rsid w:val="00303858"/>
    <w:rsid w:val="003222AE"/>
    <w:rsid w:val="00327790"/>
    <w:rsid w:val="00342BBA"/>
    <w:rsid w:val="0034722D"/>
    <w:rsid w:val="003541EA"/>
    <w:rsid w:val="0035683C"/>
    <w:rsid w:val="003641C7"/>
    <w:rsid w:val="0037106D"/>
    <w:rsid w:val="00372F9A"/>
    <w:rsid w:val="003814AC"/>
    <w:rsid w:val="00386FF0"/>
    <w:rsid w:val="003B4FE5"/>
    <w:rsid w:val="003B7A39"/>
    <w:rsid w:val="00402A5C"/>
    <w:rsid w:val="0041451A"/>
    <w:rsid w:val="00424B84"/>
    <w:rsid w:val="00431999"/>
    <w:rsid w:val="00462026"/>
    <w:rsid w:val="00462C01"/>
    <w:rsid w:val="00465F63"/>
    <w:rsid w:val="00482F4D"/>
    <w:rsid w:val="00484EB1"/>
    <w:rsid w:val="004875A5"/>
    <w:rsid w:val="004914BD"/>
    <w:rsid w:val="004D0108"/>
    <w:rsid w:val="004F11D1"/>
    <w:rsid w:val="00500936"/>
    <w:rsid w:val="005109F9"/>
    <w:rsid w:val="00521CA1"/>
    <w:rsid w:val="00523B30"/>
    <w:rsid w:val="00534908"/>
    <w:rsid w:val="0053605F"/>
    <w:rsid w:val="00541A90"/>
    <w:rsid w:val="00544268"/>
    <w:rsid w:val="00563A23"/>
    <w:rsid w:val="00565278"/>
    <w:rsid w:val="00594D96"/>
    <w:rsid w:val="005A5E4D"/>
    <w:rsid w:val="005B24B7"/>
    <w:rsid w:val="005D72D1"/>
    <w:rsid w:val="005E133C"/>
    <w:rsid w:val="005E6096"/>
    <w:rsid w:val="005F1A41"/>
    <w:rsid w:val="005F2AD7"/>
    <w:rsid w:val="00602959"/>
    <w:rsid w:val="006054FA"/>
    <w:rsid w:val="006066D6"/>
    <w:rsid w:val="006178BA"/>
    <w:rsid w:val="00620988"/>
    <w:rsid w:val="0064317F"/>
    <w:rsid w:val="006527A1"/>
    <w:rsid w:val="00664E62"/>
    <w:rsid w:val="0068683F"/>
    <w:rsid w:val="0068688F"/>
    <w:rsid w:val="00694C77"/>
    <w:rsid w:val="006A5369"/>
    <w:rsid w:val="006C0F57"/>
    <w:rsid w:val="006C5C8B"/>
    <w:rsid w:val="006D0241"/>
    <w:rsid w:val="006D13E2"/>
    <w:rsid w:val="006F4BD8"/>
    <w:rsid w:val="00700F3E"/>
    <w:rsid w:val="00706492"/>
    <w:rsid w:val="007118D8"/>
    <w:rsid w:val="0073337B"/>
    <w:rsid w:val="00742948"/>
    <w:rsid w:val="00744B76"/>
    <w:rsid w:val="00763B2B"/>
    <w:rsid w:val="0076400A"/>
    <w:rsid w:val="00767ADD"/>
    <w:rsid w:val="00771C49"/>
    <w:rsid w:val="0077687C"/>
    <w:rsid w:val="00777BA9"/>
    <w:rsid w:val="007831D7"/>
    <w:rsid w:val="00786BB2"/>
    <w:rsid w:val="007B12A8"/>
    <w:rsid w:val="007B50FD"/>
    <w:rsid w:val="007B73B5"/>
    <w:rsid w:val="007C3C4A"/>
    <w:rsid w:val="007D1436"/>
    <w:rsid w:val="007D53F8"/>
    <w:rsid w:val="007D6D63"/>
    <w:rsid w:val="007F5CDE"/>
    <w:rsid w:val="007F6C98"/>
    <w:rsid w:val="0080037E"/>
    <w:rsid w:val="00827468"/>
    <w:rsid w:val="0087164B"/>
    <w:rsid w:val="00880ED6"/>
    <w:rsid w:val="00881796"/>
    <w:rsid w:val="0089148B"/>
    <w:rsid w:val="00893471"/>
    <w:rsid w:val="00896850"/>
    <w:rsid w:val="008A325E"/>
    <w:rsid w:val="008A7E20"/>
    <w:rsid w:val="008F654A"/>
    <w:rsid w:val="009142A5"/>
    <w:rsid w:val="009225BF"/>
    <w:rsid w:val="00927205"/>
    <w:rsid w:val="00931083"/>
    <w:rsid w:val="009329B1"/>
    <w:rsid w:val="00942E3A"/>
    <w:rsid w:val="00946C9D"/>
    <w:rsid w:val="009575C5"/>
    <w:rsid w:val="00974B62"/>
    <w:rsid w:val="00983DB8"/>
    <w:rsid w:val="0099712C"/>
    <w:rsid w:val="009978C3"/>
    <w:rsid w:val="009A19C4"/>
    <w:rsid w:val="009B1753"/>
    <w:rsid w:val="009C37CB"/>
    <w:rsid w:val="009D085F"/>
    <w:rsid w:val="009D0C3B"/>
    <w:rsid w:val="009E134D"/>
    <w:rsid w:val="009F37CB"/>
    <w:rsid w:val="00A00F26"/>
    <w:rsid w:val="00A063BB"/>
    <w:rsid w:val="00A168D9"/>
    <w:rsid w:val="00A47DAD"/>
    <w:rsid w:val="00A568A9"/>
    <w:rsid w:val="00A66A1D"/>
    <w:rsid w:val="00A9603D"/>
    <w:rsid w:val="00AB0563"/>
    <w:rsid w:val="00AC4774"/>
    <w:rsid w:val="00AE6F54"/>
    <w:rsid w:val="00B258B5"/>
    <w:rsid w:val="00B434D3"/>
    <w:rsid w:val="00B51614"/>
    <w:rsid w:val="00B54CF7"/>
    <w:rsid w:val="00B565EC"/>
    <w:rsid w:val="00B6279F"/>
    <w:rsid w:val="00B676FF"/>
    <w:rsid w:val="00B72315"/>
    <w:rsid w:val="00B76322"/>
    <w:rsid w:val="00B92663"/>
    <w:rsid w:val="00BA300C"/>
    <w:rsid w:val="00BA4E7A"/>
    <w:rsid w:val="00BB5C83"/>
    <w:rsid w:val="00BC0276"/>
    <w:rsid w:val="00BC3B22"/>
    <w:rsid w:val="00BC6733"/>
    <w:rsid w:val="00BD7871"/>
    <w:rsid w:val="00BE1670"/>
    <w:rsid w:val="00C07878"/>
    <w:rsid w:val="00C129E0"/>
    <w:rsid w:val="00C17A95"/>
    <w:rsid w:val="00C35B0F"/>
    <w:rsid w:val="00C44917"/>
    <w:rsid w:val="00C459B3"/>
    <w:rsid w:val="00C50D01"/>
    <w:rsid w:val="00C62D6F"/>
    <w:rsid w:val="00C718D3"/>
    <w:rsid w:val="00C85E60"/>
    <w:rsid w:val="00C8749B"/>
    <w:rsid w:val="00C90283"/>
    <w:rsid w:val="00CA01C2"/>
    <w:rsid w:val="00CA5549"/>
    <w:rsid w:val="00CB616B"/>
    <w:rsid w:val="00CD5081"/>
    <w:rsid w:val="00CE0F1C"/>
    <w:rsid w:val="00CF24E5"/>
    <w:rsid w:val="00CF5006"/>
    <w:rsid w:val="00D17B50"/>
    <w:rsid w:val="00D331B2"/>
    <w:rsid w:val="00D33280"/>
    <w:rsid w:val="00D3525E"/>
    <w:rsid w:val="00D40641"/>
    <w:rsid w:val="00D62493"/>
    <w:rsid w:val="00D67BB3"/>
    <w:rsid w:val="00D74B6A"/>
    <w:rsid w:val="00D76784"/>
    <w:rsid w:val="00D76B60"/>
    <w:rsid w:val="00D87D6D"/>
    <w:rsid w:val="00D90022"/>
    <w:rsid w:val="00DA09FA"/>
    <w:rsid w:val="00DA2DE8"/>
    <w:rsid w:val="00DA3B28"/>
    <w:rsid w:val="00DB2484"/>
    <w:rsid w:val="00DB31A6"/>
    <w:rsid w:val="00DB67EA"/>
    <w:rsid w:val="00DE0D6F"/>
    <w:rsid w:val="00DF15B7"/>
    <w:rsid w:val="00DF49D5"/>
    <w:rsid w:val="00E00546"/>
    <w:rsid w:val="00E07F74"/>
    <w:rsid w:val="00E300C9"/>
    <w:rsid w:val="00E31D2B"/>
    <w:rsid w:val="00E35A22"/>
    <w:rsid w:val="00E447BC"/>
    <w:rsid w:val="00E737F1"/>
    <w:rsid w:val="00E749F2"/>
    <w:rsid w:val="00E75699"/>
    <w:rsid w:val="00E820A8"/>
    <w:rsid w:val="00E91CF6"/>
    <w:rsid w:val="00EA2961"/>
    <w:rsid w:val="00EA3809"/>
    <w:rsid w:val="00EB083C"/>
    <w:rsid w:val="00ED3802"/>
    <w:rsid w:val="00ED6B38"/>
    <w:rsid w:val="00EE0186"/>
    <w:rsid w:val="00EE5B4F"/>
    <w:rsid w:val="00EF78F2"/>
    <w:rsid w:val="00F03242"/>
    <w:rsid w:val="00F22155"/>
    <w:rsid w:val="00F230BE"/>
    <w:rsid w:val="00F51587"/>
    <w:rsid w:val="00F546F9"/>
    <w:rsid w:val="00F5772D"/>
    <w:rsid w:val="00F83218"/>
    <w:rsid w:val="00F85722"/>
    <w:rsid w:val="00FB36AE"/>
    <w:rsid w:val="00FC5072"/>
    <w:rsid w:val="00FD4C56"/>
    <w:rsid w:val="00FD7307"/>
    <w:rsid w:val="00FE6A02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B8B65"/>
  <w15:chartTrackingRefBased/>
  <w15:docId w15:val="{23F757F0-BC7C-41AA-80DC-77274DA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1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1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D"/>
  </w:style>
  <w:style w:type="paragraph" w:styleId="Footer">
    <w:name w:val="footer"/>
    <w:basedOn w:val="Normal"/>
    <w:link w:val="FooterChar"/>
    <w:uiPriority w:val="99"/>
    <w:unhideWhenUsed/>
    <w:rsid w:val="00A96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Yoshimura</dc:creator>
  <cp:keywords/>
  <dc:description/>
  <cp:lastModifiedBy>Jack Feldman</cp:lastModifiedBy>
  <cp:revision>2</cp:revision>
  <dcterms:created xsi:type="dcterms:W3CDTF">2025-05-05T19:41:00Z</dcterms:created>
  <dcterms:modified xsi:type="dcterms:W3CDTF">2025-05-05T19:41:00Z</dcterms:modified>
</cp:coreProperties>
</file>